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 xml:space="preserve">Dpto.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Baile Flamenco 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Bailaor/a: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Palo flamenco: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1510342</wp:posOffset>
                </wp:positionH>
                <wp:positionV relativeFrom="line">
                  <wp:posOffset>363384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8.9pt;margin-top:28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 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Estructura del baile: Diferenciar las partes que contiene el baile. Aplicar la terminolog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 propia del baile flamenco. ( llamadas, remates, subidas, etc.)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Compas que tiene el baile y acentuaci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Escribe una letra del palo flamenco a estudiar, numero de compases que contiene, y estructura de la misma.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An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lisis de las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cnicas de pies, giros y braceos que, as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 xml:space="preserve">í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como de los complementos, (bata de cola, mant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n, abanico, etc.) en caso que sean utilizados.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Interpretaci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n, indumentaria y est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tica del palo a estudiar.</w:t>
      </w:r>
      <w:r>
        <w:rPr>
          <w:rStyle w:val="Ninguno A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rPr>
        <w:rStyle w:val="Ninguno"/>
        <w:rFonts w:ascii="Helvetica" w:cs="Helvetica" w:hAnsi="Helvetica" w:eastAsia="Helvetica"/>
        <w:i w:val="1"/>
        <w:iCs w:val="1"/>
        <w:outline w:val="0"/>
        <w:color w:val="808080"/>
        <w:u w:color="808080"/>
        <w14:textFill>
          <w14:solidFill>
            <w14:srgbClr w14:val="808080"/>
          </w14:solidFill>
        </w14:textFill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</w:p>
  <w:p>
    <w:pPr>
      <w:pStyle w:val="No Spacing"/>
    </w:pP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  <w:style w:type="character" w:styleId="Ninguno A">
    <w:name w:val="Ninguno A"/>
    <w:basedOn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