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Baile Flamenco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6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1523042</wp:posOffset>
                </wp:positionH>
                <wp:positionV relativeFrom="line">
                  <wp:posOffset>350683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9.9pt;margin-top:27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amiento, etc. Haz un comentario sobre los diferentes palos escuchado y escribe todo  lo que conozcas.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"https://youtu.be/MH6IlJp75_o"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https://youtu.be/MH6IlJp75_o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"https://youtu.be/1qsvjCBwU_g"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</w:rPr>
        <w:t>https://youtu.be/1qsvjCBwU_g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Escribe la estructuras de los palos estudiados en el curso.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</w:p>
    <w:p>
      <w:pPr>
        <w:pStyle w:val="Cuerpo A"/>
        <w:spacing w:after="0" w:line="360" w:lineRule="auto"/>
        <w:ind w:left="567" w:firstLine="0"/>
        <w:jc w:val="both"/>
      </w:pP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